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191E4" w14:textId="77777777" w:rsidR="003A6AF9" w:rsidRDefault="00670CA2" w:rsidP="00C911B8">
      <w:pPr>
        <w:spacing w:after="120" w:line="360" w:lineRule="auto"/>
        <w:ind w:left="284" w:right="902"/>
      </w:pPr>
      <w:r>
        <w:t xml:space="preserve">Name: </w:t>
      </w:r>
      <w:r w:rsidR="00F70E7B">
        <w:t>Vassilis Moustakis</w:t>
      </w:r>
    </w:p>
    <w:p w14:paraId="1756A502" w14:textId="77777777" w:rsidR="00670CA2" w:rsidRDefault="00670CA2" w:rsidP="00C911B8">
      <w:pPr>
        <w:spacing w:after="120" w:line="360" w:lineRule="auto"/>
        <w:ind w:left="284" w:right="902"/>
      </w:pPr>
      <w:r>
        <w:t xml:space="preserve">E-mail: </w:t>
      </w:r>
      <w:hyperlink r:id="rId8" w:history="1">
        <w:r w:rsidR="00F70E7B" w:rsidRPr="007F0EC7">
          <w:rPr>
            <w:rStyle w:val="Hyperlink"/>
          </w:rPr>
          <w:t>vmoustakis@isc.tuc.gr</w:t>
        </w:r>
      </w:hyperlink>
      <w:r w:rsidR="00F70E7B">
        <w:t xml:space="preserve"> </w:t>
      </w:r>
    </w:p>
    <w:p w14:paraId="7204F4A5" w14:textId="7E6C042E" w:rsidR="00670CA2" w:rsidRDefault="00670CA2" w:rsidP="00C911B8">
      <w:pPr>
        <w:spacing w:after="120" w:line="360" w:lineRule="auto"/>
        <w:ind w:left="284" w:right="902"/>
      </w:pPr>
      <w:r>
        <w:t xml:space="preserve">Institution: </w:t>
      </w:r>
      <w:r w:rsidR="00F70E7B">
        <w:t>Technical University of Crete</w:t>
      </w:r>
      <w:r w:rsidR="006E1F1B">
        <w:t xml:space="preserve"> (TUC)</w:t>
      </w:r>
    </w:p>
    <w:tbl>
      <w:tblPr>
        <w:tblStyle w:val="TableGrid"/>
        <w:tblW w:w="0" w:type="auto"/>
        <w:tblInd w:w="284" w:type="dxa"/>
        <w:tblLayout w:type="fixed"/>
        <w:tblLook w:val="04A0" w:firstRow="1" w:lastRow="0" w:firstColumn="1" w:lastColumn="0" w:noHBand="0" w:noVBand="1"/>
      </w:tblPr>
      <w:tblGrid>
        <w:gridCol w:w="2092"/>
        <w:gridCol w:w="8040"/>
      </w:tblGrid>
      <w:tr w:rsidR="00670CA2" w14:paraId="25981523" w14:textId="77777777" w:rsidTr="00A06FB2">
        <w:tc>
          <w:tcPr>
            <w:tcW w:w="2092" w:type="dxa"/>
            <w:vAlign w:val="center"/>
          </w:tcPr>
          <w:p w14:paraId="34C977D8" w14:textId="03F44F14" w:rsidR="00670CA2" w:rsidRDefault="00B65917" w:rsidP="00A06FB2">
            <w:pPr>
              <w:spacing w:after="120" w:line="360" w:lineRule="auto"/>
              <w:ind w:right="902"/>
            </w:pPr>
            <w:r>
              <w:rPr>
                <w:noProof/>
                <w:lang w:val="en-US"/>
              </w:rPr>
              <w:drawing>
                <wp:inline distT="0" distB="0" distL="0" distR="0" wp14:anchorId="21E71E1F" wp14:editId="5DE7819C">
                  <wp:extent cx="1077852" cy="143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takis.jpg"/>
                          <pic:cNvPicPr/>
                        </pic:nvPicPr>
                        <pic:blipFill>
                          <a:blip r:embed="rId9">
                            <a:extLst>
                              <a:ext uri="{28A0092B-C50C-407E-A947-70E740481C1C}">
                                <a14:useLocalDpi xmlns:a14="http://schemas.microsoft.com/office/drawing/2010/main" val="0"/>
                              </a:ext>
                            </a:extLst>
                          </a:blip>
                          <a:stretch>
                            <a:fillRect/>
                          </a:stretch>
                        </pic:blipFill>
                        <pic:spPr>
                          <a:xfrm>
                            <a:off x="0" y="0"/>
                            <a:ext cx="1077852" cy="1436400"/>
                          </a:xfrm>
                          <a:prstGeom prst="rect">
                            <a:avLst/>
                          </a:prstGeom>
                        </pic:spPr>
                      </pic:pic>
                    </a:graphicData>
                  </a:graphic>
                </wp:inline>
              </w:drawing>
            </w:r>
          </w:p>
        </w:tc>
        <w:tc>
          <w:tcPr>
            <w:tcW w:w="8040" w:type="dxa"/>
          </w:tcPr>
          <w:p w14:paraId="0B35F8F5" w14:textId="77777777" w:rsidR="00670CA2" w:rsidRDefault="00670CA2" w:rsidP="00C911B8">
            <w:pPr>
              <w:spacing w:after="120" w:line="360" w:lineRule="auto"/>
              <w:ind w:right="902"/>
            </w:pPr>
            <w:r>
              <w:t>Short biography (150 words)</w:t>
            </w:r>
          </w:p>
          <w:p w14:paraId="30075D6E" w14:textId="72E33FF4" w:rsidR="006E1F1B" w:rsidRDefault="006E1F1B" w:rsidP="006E1F1B">
            <w:pPr>
              <w:ind w:right="902"/>
            </w:pPr>
            <w:r>
              <w:t>Professor of Operations Management at the School of Production E</w:t>
            </w:r>
            <w:r w:rsidR="00A06FB2">
              <w:t>ngineering and Management and Director of Management Systems Lab (</w:t>
            </w:r>
            <w:hyperlink r:id="rId10" w:history="1">
              <w:r w:rsidR="00A06FB2" w:rsidRPr="007F0EC7">
                <w:rPr>
                  <w:rStyle w:val="Hyperlink"/>
                </w:rPr>
                <w:t>http://www.logistics.tuc.gr</w:t>
              </w:r>
            </w:hyperlink>
            <w:r w:rsidR="00A06FB2">
              <w:t xml:space="preserve">), TUC. </w:t>
            </w:r>
            <w:r>
              <w:t xml:space="preserve">Specializes in Supply Chain Management, Enterpreneurship and Innovation Management and in Cost Engineering. </w:t>
            </w:r>
            <w:r w:rsidR="00A06FB2">
              <w:t>Has collaborated with the Institute of Computer Science, FORTH from 1987 until 2010 on Health Care Information Systems and Machine Learning. Has served as Consultant to the European Commission, to the Government Agencies and to Industry in Greece, Europe and the USA in information Systems and Management. Has coordinated the development of postgraduate  programs of study in medical information systems in Serbia and and in Egypt. Has authored three books related to Management and Economic Analysis (in Greek). Has published over 60 articles in peer reviewed scietific journals and numerous articles in International Con</w:t>
            </w:r>
            <w:bookmarkStart w:id="0" w:name="_GoBack"/>
            <w:bookmarkEnd w:id="0"/>
            <w:r w:rsidR="00A06FB2">
              <w:t>ference Abstracts.</w:t>
            </w:r>
          </w:p>
        </w:tc>
      </w:tr>
      <w:tr w:rsidR="00670CA2" w14:paraId="411CAA20" w14:textId="77777777" w:rsidTr="00A06FB2">
        <w:trPr>
          <w:trHeight w:val="4168"/>
        </w:trPr>
        <w:tc>
          <w:tcPr>
            <w:tcW w:w="10132" w:type="dxa"/>
            <w:gridSpan w:val="2"/>
          </w:tcPr>
          <w:p w14:paraId="566FA0D4" w14:textId="77777777" w:rsidR="00670CA2" w:rsidRDefault="00670CA2" w:rsidP="00C911B8">
            <w:pPr>
              <w:spacing w:after="120" w:line="360" w:lineRule="auto"/>
              <w:ind w:right="902"/>
            </w:pPr>
            <w:r>
              <w:t>References (max. 5 relevant references)</w:t>
            </w:r>
          </w:p>
          <w:p w14:paraId="171F6BA2" w14:textId="77777777" w:rsidR="00A06FB2" w:rsidRPr="00A06FB2" w:rsidRDefault="00A06FB2" w:rsidP="00A06FB2">
            <w:pPr>
              <w:pStyle w:val="ListParagraph"/>
              <w:numPr>
                <w:ilvl w:val="0"/>
                <w:numId w:val="5"/>
              </w:numPr>
              <w:spacing w:before="120" w:after="100" w:afterAutospacing="1" w:line="300" w:lineRule="atLeast"/>
              <w:rPr>
                <w:sz w:val="22"/>
                <w:lang w:val="en-GB"/>
              </w:rPr>
            </w:pPr>
            <w:r w:rsidRPr="00A06FB2">
              <w:rPr>
                <w:sz w:val="22"/>
                <w:lang w:val="en-GB"/>
              </w:rPr>
              <w:t xml:space="preserve">Zampetakis, L.A., Bakatsaki, M. Litos, Ch., Kafetsios, K. &amp; </w:t>
            </w:r>
            <w:r w:rsidRPr="00A06FB2">
              <w:rPr>
                <w:b/>
                <w:sz w:val="22"/>
                <w:u w:val="single"/>
                <w:lang w:val="en-GB"/>
              </w:rPr>
              <w:t>Moustakis, V.</w:t>
            </w:r>
            <w:r w:rsidRPr="00A06FB2">
              <w:rPr>
                <w:sz w:val="22"/>
                <w:lang w:val="en-GB"/>
              </w:rPr>
              <w:t xml:space="preserve"> (2017). Investigating the role of self-construal in the formation of entrepreneurial intentions. </w:t>
            </w:r>
            <w:r w:rsidRPr="00A06FB2">
              <w:rPr>
                <w:i/>
                <w:sz w:val="22"/>
                <w:lang w:val="en-GB"/>
              </w:rPr>
              <w:t>Frontiers in Psychology – Organizational Psychology</w:t>
            </w:r>
            <w:r w:rsidRPr="00A06FB2">
              <w:rPr>
                <w:sz w:val="22"/>
                <w:lang w:val="en-GB"/>
              </w:rPr>
              <w:t>, doi: 10.3389/fpsyg.2017.00451</w:t>
            </w:r>
          </w:p>
          <w:p w14:paraId="2B70F547" w14:textId="77777777" w:rsidR="00A06FB2" w:rsidRPr="00A06FB2" w:rsidRDefault="00A06FB2" w:rsidP="00A06FB2">
            <w:pPr>
              <w:pStyle w:val="ListParagraph"/>
              <w:numPr>
                <w:ilvl w:val="0"/>
                <w:numId w:val="5"/>
              </w:numPr>
              <w:spacing w:before="120" w:after="100" w:afterAutospacing="1" w:line="300" w:lineRule="atLeast"/>
              <w:rPr>
                <w:sz w:val="22"/>
                <w:lang w:val="en-GB"/>
              </w:rPr>
            </w:pPr>
            <w:r w:rsidRPr="00A06FB2">
              <w:rPr>
                <w:sz w:val="22"/>
                <w:lang w:val="en-GB"/>
              </w:rPr>
              <w:t xml:space="preserve">Zampetakis, L.A., Kafetsios, K. &amp; </w:t>
            </w:r>
            <w:r w:rsidRPr="00A06FB2">
              <w:rPr>
                <w:b/>
                <w:sz w:val="22"/>
                <w:u w:val="single"/>
                <w:lang w:val="en-GB"/>
              </w:rPr>
              <w:t>Moustakis, V.</w:t>
            </w:r>
            <w:r w:rsidRPr="00A06FB2">
              <w:rPr>
                <w:sz w:val="22"/>
                <w:lang w:val="en-GB"/>
              </w:rPr>
              <w:t xml:space="preserve"> (2017). Using emotional persuasion for changing attitudes towards entrepreneurship: An interpersonal perspective. </w:t>
            </w:r>
            <w:r w:rsidRPr="00A06FB2">
              <w:rPr>
                <w:i/>
                <w:sz w:val="22"/>
                <w:lang w:val="en-GB"/>
              </w:rPr>
              <w:t>Journal of Business Venturing Insights</w:t>
            </w:r>
            <w:r w:rsidRPr="00A06FB2">
              <w:rPr>
                <w:sz w:val="22"/>
                <w:lang w:val="en-GB"/>
              </w:rPr>
              <w:t xml:space="preserve">, </w:t>
            </w:r>
            <w:r w:rsidRPr="00A06FB2">
              <w:rPr>
                <w:i/>
                <w:sz w:val="22"/>
                <w:lang w:val="en-GB"/>
              </w:rPr>
              <w:t>Vol.7,</w:t>
            </w:r>
            <w:r w:rsidRPr="00A06FB2">
              <w:rPr>
                <w:sz w:val="22"/>
                <w:lang w:val="en-GB"/>
              </w:rPr>
              <w:t xml:space="preserve"> pp. 50-54.</w:t>
            </w:r>
          </w:p>
          <w:p w14:paraId="277E6CF3" w14:textId="77777777" w:rsidR="00A06FB2" w:rsidRPr="00A06FB2" w:rsidRDefault="00A06FB2" w:rsidP="00A06FB2">
            <w:pPr>
              <w:pStyle w:val="ListParagraph"/>
              <w:numPr>
                <w:ilvl w:val="0"/>
                <w:numId w:val="5"/>
              </w:numPr>
              <w:spacing w:before="120" w:after="100" w:afterAutospacing="1" w:line="300" w:lineRule="atLeast"/>
              <w:rPr>
                <w:sz w:val="22"/>
                <w:lang w:val="en-GB"/>
              </w:rPr>
            </w:pPr>
            <w:r w:rsidRPr="00A06FB2">
              <w:rPr>
                <w:sz w:val="22"/>
                <w:lang w:val="en-GB"/>
              </w:rPr>
              <w:t xml:space="preserve">Zampetakis, L.A., Lerakis, M., Kafetsios, K. &amp; </w:t>
            </w:r>
            <w:r w:rsidRPr="00A06FB2">
              <w:rPr>
                <w:b/>
                <w:sz w:val="22"/>
                <w:u w:val="single"/>
                <w:lang w:val="en-GB"/>
              </w:rPr>
              <w:t>Moustakis, V.</w:t>
            </w:r>
            <w:r w:rsidRPr="00A06FB2">
              <w:rPr>
                <w:sz w:val="22"/>
                <w:lang w:val="en-GB"/>
              </w:rPr>
              <w:t xml:space="preserve"> (2017). An emotional experience of entrepreneurship: Self-construal, emotion regulation and expressions to anticipatory emotions. </w:t>
            </w:r>
            <w:r w:rsidRPr="00A06FB2">
              <w:rPr>
                <w:i/>
                <w:sz w:val="22"/>
                <w:lang w:val="en-GB"/>
              </w:rPr>
              <w:t>Journal of Career Development</w:t>
            </w:r>
            <w:r w:rsidRPr="00A06FB2">
              <w:rPr>
                <w:sz w:val="22"/>
                <w:lang w:val="en-GB"/>
              </w:rPr>
              <w:t xml:space="preserve">, </w:t>
            </w:r>
            <w:r w:rsidRPr="00A06FB2">
              <w:rPr>
                <w:i/>
                <w:sz w:val="22"/>
                <w:lang w:val="en-GB"/>
              </w:rPr>
              <w:t>Vol. 44(2),</w:t>
            </w:r>
            <w:r w:rsidRPr="00A06FB2">
              <w:rPr>
                <w:sz w:val="22"/>
                <w:lang w:val="en-GB"/>
              </w:rPr>
              <w:t xml:space="preserve"> pp. 114-158.</w:t>
            </w:r>
          </w:p>
          <w:p w14:paraId="38267D0C" w14:textId="77777777" w:rsidR="00A06FB2" w:rsidRPr="00A06FB2" w:rsidRDefault="00A06FB2" w:rsidP="00A06FB2">
            <w:pPr>
              <w:pStyle w:val="ListParagraph"/>
              <w:numPr>
                <w:ilvl w:val="0"/>
                <w:numId w:val="5"/>
              </w:numPr>
              <w:spacing w:before="120" w:after="100" w:afterAutospacing="1" w:line="300" w:lineRule="atLeast"/>
              <w:rPr>
                <w:sz w:val="22"/>
              </w:rPr>
            </w:pPr>
            <w:r w:rsidRPr="00A06FB2">
              <w:rPr>
                <w:sz w:val="22"/>
                <w:lang w:val="en-GB"/>
              </w:rPr>
              <w:t xml:space="preserve">Zampetakis, L.A., Bakatsaki, M., Kafetsios, K. &amp; </w:t>
            </w:r>
            <w:r w:rsidRPr="00A06FB2">
              <w:rPr>
                <w:b/>
                <w:sz w:val="22"/>
                <w:u w:val="single"/>
                <w:lang w:val="en-GB"/>
              </w:rPr>
              <w:t>Moustakis, V.</w:t>
            </w:r>
            <w:r w:rsidRPr="00A06FB2">
              <w:rPr>
                <w:sz w:val="22"/>
                <w:lang w:val="en-GB"/>
              </w:rPr>
              <w:t xml:space="preserve"> (2016).</w:t>
            </w:r>
            <w:r w:rsidRPr="00A06FB2">
              <w:rPr>
                <w:color w:val="000000"/>
                <w:sz w:val="22"/>
              </w:rPr>
              <w:t xml:space="preserve"> </w:t>
            </w:r>
            <w:r w:rsidRPr="00A06FB2">
              <w:rPr>
                <w:sz w:val="22"/>
              </w:rPr>
              <w:t xml:space="preserve">Sex differences in entrepreneurs' business growth intentions: An identity approach. </w:t>
            </w:r>
            <w:r w:rsidRPr="00A06FB2">
              <w:rPr>
                <w:i/>
                <w:sz w:val="22"/>
              </w:rPr>
              <w:t>Journal of Innovation and Entrepreneurship</w:t>
            </w:r>
            <w:r w:rsidRPr="00A06FB2">
              <w:rPr>
                <w:sz w:val="22"/>
              </w:rPr>
              <w:t xml:space="preserve">, </w:t>
            </w:r>
            <w:r w:rsidRPr="00A06FB2">
              <w:rPr>
                <w:i/>
                <w:sz w:val="22"/>
              </w:rPr>
              <w:t>Vol.</w:t>
            </w:r>
            <w:r w:rsidRPr="00A06FB2">
              <w:rPr>
                <w:sz w:val="22"/>
              </w:rPr>
              <w:t xml:space="preserve"> 5:29 </w:t>
            </w:r>
            <w:r w:rsidRPr="00A06FB2">
              <w:rPr>
                <w:i/>
                <w:sz w:val="22"/>
              </w:rPr>
              <w:t>doi:</w:t>
            </w:r>
            <w:r w:rsidRPr="00A06FB2">
              <w:rPr>
                <w:sz w:val="22"/>
              </w:rPr>
              <w:t xml:space="preserve"> 10.1186/s13731-016-0057-5</w:t>
            </w:r>
          </w:p>
          <w:p w14:paraId="3797F5E0" w14:textId="77777777" w:rsidR="00A06FB2" w:rsidRPr="00A06FB2" w:rsidRDefault="00A06FB2" w:rsidP="00A06FB2">
            <w:pPr>
              <w:pStyle w:val="ListParagraph"/>
              <w:numPr>
                <w:ilvl w:val="0"/>
                <w:numId w:val="5"/>
              </w:numPr>
              <w:spacing w:before="120" w:after="100" w:afterAutospacing="1" w:line="300" w:lineRule="atLeast"/>
              <w:rPr>
                <w:i/>
                <w:sz w:val="22"/>
                <w:lang w:val="en-GB"/>
              </w:rPr>
            </w:pPr>
            <w:r w:rsidRPr="00A06FB2">
              <w:rPr>
                <w:sz w:val="22"/>
                <w:lang w:val="en-GB"/>
              </w:rPr>
              <w:t xml:space="preserve">Zampetakis, L.A., Lerakis, M., Kafetsios, K. &amp; </w:t>
            </w:r>
            <w:r w:rsidRPr="00A06FB2">
              <w:rPr>
                <w:b/>
                <w:sz w:val="22"/>
                <w:u w:val="single"/>
                <w:lang w:val="en-GB"/>
              </w:rPr>
              <w:t>Moustakis, V.</w:t>
            </w:r>
            <w:r w:rsidRPr="00A06FB2">
              <w:rPr>
                <w:sz w:val="22"/>
                <w:lang w:val="en-GB"/>
              </w:rPr>
              <w:t xml:space="preserve"> (2016).</w:t>
            </w:r>
            <w:r w:rsidRPr="00A06FB2">
              <w:rPr>
                <w:sz w:val="22"/>
              </w:rPr>
              <w:t xml:space="preserve"> </w:t>
            </w:r>
            <w:r w:rsidRPr="00A06FB2">
              <w:rPr>
                <w:sz w:val="22"/>
                <w:lang w:val="en-GB"/>
              </w:rPr>
              <w:t xml:space="preserve">Anticipated emotions towards business startup:  A latent profile analysis of early stage career starters. </w:t>
            </w:r>
            <w:r w:rsidRPr="00A06FB2">
              <w:rPr>
                <w:i/>
                <w:sz w:val="22"/>
                <w:lang w:val="en-GB"/>
              </w:rPr>
              <w:t>International Journal of Management Education, Vol. 14, pp. 28-38.</w:t>
            </w:r>
          </w:p>
          <w:p w14:paraId="5B7C0D72" w14:textId="77777777" w:rsidR="00670CA2" w:rsidRDefault="00670CA2" w:rsidP="00A06FB2">
            <w:pPr>
              <w:spacing w:after="120" w:line="360" w:lineRule="auto"/>
              <w:ind w:right="902"/>
            </w:pPr>
          </w:p>
        </w:tc>
      </w:tr>
    </w:tbl>
    <w:p w14:paraId="03B7740E" w14:textId="77777777" w:rsidR="00670CA2" w:rsidRDefault="00670CA2" w:rsidP="00C911B8">
      <w:pPr>
        <w:spacing w:after="120" w:line="360" w:lineRule="auto"/>
        <w:ind w:left="284" w:right="902"/>
      </w:pPr>
    </w:p>
    <w:p w14:paraId="2FEBFC2D" w14:textId="77777777" w:rsidR="00242A86" w:rsidRDefault="00242A86" w:rsidP="00242A86"/>
    <w:p w14:paraId="0B3621F1" w14:textId="77777777" w:rsidR="00242A86" w:rsidRDefault="00242A86" w:rsidP="00242A86"/>
    <w:p w14:paraId="36C0DAFD" w14:textId="77777777" w:rsidR="00242A86" w:rsidRDefault="00242A86" w:rsidP="00242A86"/>
    <w:p w14:paraId="1F9DFDD8" w14:textId="77777777" w:rsidR="00242A86" w:rsidRDefault="00242A86" w:rsidP="00242A86"/>
    <w:p w14:paraId="0B200A75" w14:textId="77777777" w:rsidR="00242A86" w:rsidRDefault="00242A86" w:rsidP="00242A86"/>
    <w:p w14:paraId="673DECD0" w14:textId="4FCA7DED" w:rsidR="00242A86" w:rsidRDefault="00A06FB2" w:rsidP="00242A86">
      <w:r>
        <w:rPr>
          <w:rFonts w:eastAsia="Calibri" w:cs="Stone Serif ITC TT"/>
          <w:noProof/>
          <w:color w:val="000000"/>
          <w:szCs w:val="24"/>
          <w:lang w:val="en-US"/>
        </w:rPr>
        <mc:AlternateContent>
          <mc:Choice Requires="wps">
            <w:drawing>
              <wp:anchor distT="0" distB="0" distL="114300" distR="114300" simplePos="0" relativeHeight="251659264" behindDoc="0" locked="0" layoutInCell="1" allowOverlap="1" wp14:anchorId="336D18AE" wp14:editId="758022F8">
                <wp:simplePos x="0" y="0"/>
                <wp:positionH relativeFrom="column">
                  <wp:posOffset>405130</wp:posOffset>
                </wp:positionH>
                <wp:positionV relativeFrom="paragraph">
                  <wp:posOffset>66040</wp:posOffset>
                </wp:positionV>
                <wp:extent cx="5699760" cy="973455"/>
                <wp:effectExtent l="0" t="0" r="1524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973455"/>
                        </a:xfrm>
                        <a:prstGeom prst="rect">
                          <a:avLst/>
                        </a:prstGeom>
                        <a:solidFill>
                          <a:srgbClr val="FFFFFF"/>
                        </a:solidFill>
                        <a:ln w="9525">
                          <a:solidFill>
                            <a:srgbClr val="FF0000"/>
                          </a:solidFill>
                          <a:miter lim="800000"/>
                          <a:headEnd/>
                          <a:tailEnd/>
                        </a:ln>
                      </wps:spPr>
                      <wps:txbx>
                        <w:txbxContent>
                          <w:p w14:paraId="3563733A" w14:textId="77777777"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14:paraId="434844B9" w14:textId="77777777" w:rsidR="00242A86" w:rsidRPr="003025A0" w:rsidRDefault="00242A86" w:rsidP="00242A86">
                            <w:pPr>
                              <w:rPr>
                                <w:lang w:val="en-US"/>
                              </w:rPr>
                            </w:pPr>
                          </w:p>
                          <w:p w14:paraId="46814014" w14:textId="77777777"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1.9pt;margin-top:5.2pt;width:448.8pt;height:7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" strokecolor="red">
                <v:textbox style="mso-fit-shape-to-text:t">
                  <w:txbxContent>
                    <w:p w14:paraId="3563733A" w14:textId="77777777"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14:paraId="434844B9" w14:textId="77777777" w:rsidR="00242A86" w:rsidRPr="003025A0" w:rsidRDefault="00242A86" w:rsidP="00242A86">
                      <w:pPr>
                        <w:rPr>
                          <w:lang w:val="en-US"/>
                        </w:rPr>
                      </w:pPr>
                    </w:p>
                    <w:p w14:paraId="46814014" w14:textId="77777777"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mc:Fallback>
        </mc:AlternateContent>
      </w:r>
    </w:p>
    <w:p w14:paraId="4DB2DE40" w14:textId="77777777" w:rsidR="00F25283" w:rsidRDefault="00F25283" w:rsidP="00242A86"/>
    <w:p w14:paraId="62050C4C" w14:textId="77777777" w:rsidR="00F25283" w:rsidRDefault="00F25283" w:rsidP="00242A86"/>
    <w:p w14:paraId="76B5B1A6" w14:textId="77777777" w:rsidR="00F25283" w:rsidRPr="00242A86" w:rsidRDefault="00F25283" w:rsidP="00242A86"/>
    <w:sectPr w:rsidR="00F25283" w:rsidRPr="00242A86" w:rsidSect="00A67DA7">
      <w:headerReference w:type="default" r:id="rId11"/>
      <w:footerReference w:type="defaul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ABDBB" w14:textId="77777777" w:rsidR="00565961" w:rsidRDefault="00565961">
      <w:r>
        <w:separator/>
      </w:r>
    </w:p>
  </w:endnote>
  <w:endnote w:type="continuationSeparator" w:id="0">
    <w:p w14:paraId="4E01DE8C" w14:textId="77777777" w:rsidR="00565961" w:rsidRDefault="0056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00"/>
    <w:family w:val="auto"/>
    <w:pitch w:val="variable"/>
    <w:sig w:usb0="F7FFAFFF" w:usb1="E9DFFFFF" w:usb2="0000003F" w:usb3="00000000" w:csb0="003F01FF" w:csb1="00000000"/>
  </w:font>
  <w:font w:name="Albany">
    <w:altName w:val="Arial"/>
    <w:charset w:val="00"/>
    <w:family w:val="swiss"/>
    <w:pitch w:val="variable"/>
  </w:font>
  <w:font w:name="Tahoma">
    <w:panose1 w:val="020B0604030504040204"/>
    <w:charset w:val="00"/>
    <w:family w:val="auto"/>
    <w:pitch w:val="variable"/>
    <w:sig w:usb0="E1002AFF" w:usb1="C000605B" w:usb2="00000029" w:usb3="00000000" w:csb0="000101FF"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15BE7" w14:textId="77777777" w:rsidR="00100EAD" w:rsidRDefault="00100EAD">
    <w:pPr>
      <w:pStyle w:val="Footer"/>
      <w:jc w:val="right"/>
    </w:pPr>
  </w:p>
  <w:p w14:paraId="6AFF7778" w14:textId="77777777" w:rsidR="00F12C7C" w:rsidRDefault="00F12C7C" w:rsidP="00AE48B4">
    <w:pPr>
      <w:pStyle w:val="Footer"/>
      <w:ind w:left="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889EC" w14:textId="77777777" w:rsidR="00565961" w:rsidRDefault="00565961">
      <w:r>
        <w:separator/>
      </w:r>
    </w:p>
  </w:footnote>
  <w:footnote w:type="continuationSeparator" w:id="0">
    <w:p w14:paraId="166A00AA" w14:textId="77777777" w:rsidR="00565961" w:rsidRDefault="005659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202"/>
      <w:gridCol w:w="5633"/>
      <w:gridCol w:w="2581"/>
    </w:tblGrid>
    <w:tr w:rsidR="0069015C" w14:paraId="0B13C383" w14:textId="77777777" w:rsidTr="00100EAD">
      <w:tc>
        <w:tcPr>
          <w:tcW w:w="2235" w:type="dxa"/>
        </w:tcPr>
        <w:p w14:paraId="3EC850E1" w14:textId="77777777" w:rsidR="0069015C" w:rsidRDefault="00791D5E" w:rsidP="00E843F7">
          <w:pPr>
            <w:pStyle w:val="BodyText"/>
          </w:pPr>
          <w:r>
            <w:rPr>
              <w:noProof/>
              <w:lang w:bidi="ar-SA"/>
            </w:rPr>
            <w:drawing>
              <wp:inline distT="0" distB="0" distL="0" distR="0" wp14:anchorId="178E43C5" wp14:editId="47CA95BD">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14:paraId="25D3A780" w14:textId="77777777" w:rsidR="00264FB0" w:rsidRDefault="00264FB0" w:rsidP="00E843F7">
          <w:pPr>
            <w:pStyle w:val="BodyText"/>
            <w:rPr>
              <w:rFonts w:ascii="Book Antiqua" w:hAnsi="Book Antiqua"/>
              <w:b/>
              <w:color w:val="17365D" w:themeColor="text2" w:themeShade="BF"/>
              <w:sz w:val="16"/>
              <w:szCs w:val="16"/>
              <w:shd w:val="clear" w:color="auto" w:fill="FFFFFF"/>
            </w:rPr>
          </w:pPr>
        </w:p>
        <w:p w14:paraId="43CD9239" w14:textId="77777777"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14:paraId="406F5B71" w14:textId="77777777" w:rsidR="0069015C" w:rsidRDefault="00D51A3E" w:rsidP="00E843F7">
          <w:pPr>
            <w:pStyle w:val="BodyText"/>
          </w:pPr>
          <w:r>
            <w:rPr>
              <w:noProof/>
              <w:lang w:bidi="ar-SA"/>
            </w:rPr>
            <w:drawing>
              <wp:inline distT="0" distB="0" distL="0" distR="0" wp14:anchorId="41DF3DD7" wp14:editId="2C543434">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14:paraId="10403AAE" w14:textId="77777777" w:rsidR="003A6AF9" w:rsidRDefault="003A6AF9" w:rsidP="00E843F7">
    <w:pPr>
      <w:pStyle w:val="BodyTex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BF7C85"/>
    <w:multiLevelType w:val="hybridMultilevel"/>
    <w:tmpl w:val="90967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1"/>
    <w:rsid w:val="00005D08"/>
    <w:rsid w:val="000237B0"/>
    <w:rsid w:val="000341D6"/>
    <w:rsid w:val="0004689E"/>
    <w:rsid w:val="00047D38"/>
    <w:rsid w:val="00051F8B"/>
    <w:rsid w:val="00053A35"/>
    <w:rsid w:val="000831F3"/>
    <w:rsid w:val="00083CE1"/>
    <w:rsid w:val="00090499"/>
    <w:rsid w:val="00091566"/>
    <w:rsid w:val="0009219B"/>
    <w:rsid w:val="00096DBF"/>
    <w:rsid w:val="000E0157"/>
    <w:rsid w:val="00100EAD"/>
    <w:rsid w:val="00116BB0"/>
    <w:rsid w:val="00132BB4"/>
    <w:rsid w:val="001362D2"/>
    <w:rsid w:val="00143543"/>
    <w:rsid w:val="00151396"/>
    <w:rsid w:val="001516D3"/>
    <w:rsid w:val="001779FE"/>
    <w:rsid w:val="00181D91"/>
    <w:rsid w:val="00190C9A"/>
    <w:rsid w:val="00195F5D"/>
    <w:rsid w:val="001A21A4"/>
    <w:rsid w:val="001B5FBB"/>
    <w:rsid w:val="001D05D0"/>
    <w:rsid w:val="001E6E78"/>
    <w:rsid w:val="001E74C7"/>
    <w:rsid w:val="001E78A7"/>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D0814"/>
    <w:rsid w:val="005E07B0"/>
    <w:rsid w:val="005E3BBC"/>
    <w:rsid w:val="005E7077"/>
    <w:rsid w:val="005F1950"/>
    <w:rsid w:val="005F6CCB"/>
    <w:rsid w:val="0060503B"/>
    <w:rsid w:val="00611687"/>
    <w:rsid w:val="00626E41"/>
    <w:rsid w:val="00632335"/>
    <w:rsid w:val="006324AA"/>
    <w:rsid w:val="006436E9"/>
    <w:rsid w:val="0066667E"/>
    <w:rsid w:val="00670CA2"/>
    <w:rsid w:val="00682226"/>
    <w:rsid w:val="0069015C"/>
    <w:rsid w:val="006B569C"/>
    <w:rsid w:val="006C1CFB"/>
    <w:rsid w:val="006C646D"/>
    <w:rsid w:val="006C64A2"/>
    <w:rsid w:val="006D5654"/>
    <w:rsid w:val="006D6343"/>
    <w:rsid w:val="006E1F1B"/>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06FB2"/>
    <w:rsid w:val="00A21128"/>
    <w:rsid w:val="00A46A71"/>
    <w:rsid w:val="00A67DA7"/>
    <w:rsid w:val="00A70E8D"/>
    <w:rsid w:val="00A77E8D"/>
    <w:rsid w:val="00AB6F49"/>
    <w:rsid w:val="00AD2967"/>
    <w:rsid w:val="00AD7515"/>
    <w:rsid w:val="00AE140B"/>
    <w:rsid w:val="00AE48B4"/>
    <w:rsid w:val="00AE60AC"/>
    <w:rsid w:val="00AF6032"/>
    <w:rsid w:val="00AF75BE"/>
    <w:rsid w:val="00B02282"/>
    <w:rsid w:val="00B13005"/>
    <w:rsid w:val="00B17EFA"/>
    <w:rsid w:val="00B31650"/>
    <w:rsid w:val="00B326CE"/>
    <w:rsid w:val="00B4758A"/>
    <w:rsid w:val="00B527CA"/>
    <w:rsid w:val="00B56CC8"/>
    <w:rsid w:val="00B577F0"/>
    <w:rsid w:val="00B65917"/>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D6755"/>
    <w:rsid w:val="00E018F8"/>
    <w:rsid w:val="00E12A3F"/>
    <w:rsid w:val="00E13121"/>
    <w:rsid w:val="00E43951"/>
    <w:rsid w:val="00E57AEA"/>
    <w:rsid w:val="00E6240D"/>
    <w:rsid w:val="00E62A1D"/>
    <w:rsid w:val="00E6578E"/>
    <w:rsid w:val="00E8190B"/>
    <w:rsid w:val="00E82BA2"/>
    <w:rsid w:val="00E843F7"/>
    <w:rsid w:val="00EA6356"/>
    <w:rsid w:val="00EC0E26"/>
    <w:rsid w:val="00EC42B9"/>
    <w:rsid w:val="00EC6240"/>
    <w:rsid w:val="00EC69DF"/>
    <w:rsid w:val="00EE2F75"/>
    <w:rsid w:val="00F115F5"/>
    <w:rsid w:val="00F11C92"/>
    <w:rsid w:val="00F12C7C"/>
    <w:rsid w:val="00F25283"/>
    <w:rsid w:val="00F27049"/>
    <w:rsid w:val="00F34216"/>
    <w:rsid w:val="00F34547"/>
    <w:rsid w:val="00F65441"/>
    <w:rsid w:val="00F66384"/>
    <w:rsid w:val="00F70E7B"/>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86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vmoustakis@isc.tuc.gr" TargetMode="External"/><Relationship Id="rId9" Type="http://schemas.openxmlformats.org/officeDocument/2006/relationships/image" Target="media/image1.jpg"/><Relationship Id="rId10" Type="http://schemas.openxmlformats.org/officeDocument/2006/relationships/hyperlink" Target="http://www.logistics.tuc.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\Users\user\Downloads\Tempus_IRIS_New_Word_Template (1).dotx</Template>
  <TotalTime>2</TotalTime>
  <Pages>2</Pages>
  <Words>357</Words>
  <Characters>2038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Siegfried Wagner</cp:lastModifiedBy>
  <cp:revision>2</cp:revision>
  <cp:lastPrinted>2016-01-21T07:14:00Z</cp:lastPrinted>
  <dcterms:created xsi:type="dcterms:W3CDTF">2017-09-24T21:24:00Z</dcterms:created>
  <dcterms:modified xsi:type="dcterms:W3CDTF">2017-09-24T21:24:00Z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